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F83325"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F83325"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F83325"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F83325"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F83325"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F83325"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83325">
        <w:rPr>
          <w:rFonts w:ascii="Arial" w:eastAsia="Times New Roman" w:hAnsi="Arial" w:cs="Times New Roman"/>
          <w:lang w:val="de-DE" w:eastAsia="de-DE"/>
        </w:rPr>
      </w:r>
      <w:r w:rsidR="00F83325">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31190013" w:rsidR="00BD0A9E"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724979F" w14:textId="77777777" w:rsidR="00BD0A9E" w:rsidRDefault="00BD0A9E">
      <w:pPr>
        <w:rPr>
          <w:rFonts w:ascii="Arial" w:eastAsia="Times New Roman" w:hAnsi="Arial" w:cs="Arial"/>
          <w:lang w:val="de-DE" w:eastAsia="de-DE"/>
        </w:rPr>
      </w:pPr>
      <w:r>
        <w:rPr>
          <w:rFonts w:ascii="Arial" w:eastAsia="Times New Roman" w:hAnsi="Arial" w:cs="Arial"/>
          <w:lang w:val="de-DE" w:eastAsia="de-DE"/>
        </w:rPr>
        <w:br w:type="page"/>
      </w:r>
    </w:p>
    <w:p w14:paraId="41D96383" w14:textId="5B29A123" w:rsidR="00BD0A9E" w:rsidRPr="00837073" w:rsidRDefault="00294287" w:rsidP="00BD0A9E">
      <w:pPr>
        <w:spacing w:after="0"/>
        <w:rPr>
          <w:rFonts w:ascii="Arial" w:eastAsia="Times New Roman" w:hAnsi="Arial" w:cs="Arial"/>
          <w:b/>
          <w:sz w:val="30"/>
          <w:szCs w:val="30"/>
          <w:lang w:eastAsia="de-DE"/>
        </w:rPr>
      </w:pPr>
      <w:r>
        <w:rPr>
          <w:rFonts w:ascii="Arial" w:eastAsia="Times New Roman" w:hAnsi="Arial" w:cs="Arial"/>
          <w:b/>
          <w:sz w:val="30"/>
          <w:szCs w:val="30"/>
          <w:lang w:eastAsia="de-DE"/>
        </w:rPr>
        <w:t>Klinische Pharmakologie und Toxikologie</w:t>
      </w:r>
    </w:p>
    <w:p w14:paraId="4BCB6DA2" w14:textId="77777777" w:rsidR="00BD0A9E" w:rsidRPr="000A785A" w:rsidRDefault="00BD0A9E" w:rsidP="00BD0A9E">
      <w:pPr>
        <w:spacing w:after="0"/>
        <w:rPr>
          <w:rFonts w:ascii="Arial" w:eastAsia="Times New Roman" w:hAnsi="Arial" w:cs="Arial"/>
          <w:lang w:eastAsia="de-DE"/>
        </w:rPr>
      </w:pPr>
    </w:p>
    <w:p w14:paraId="5639BFE9" w14:textId="77777777" w:rsidR="00BD0A9E" w:rsidRDefault="00BD0A9E" w:rsidP="00BD0A9E">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084223E" w14:textId="77777777" w:rsidR="00BD0A9E" w:rsidRDefault="00BD0A9E" w:rsidP="00BD0A9E">
      <w:pPr>
        <w:tabs>
          <w:tab w:val="left" w:pos="-720"/>
        </w:tabs>
        <w:spacing w:after="0"/>
        <w:jc w:val="both"/>
        <w:rPr>
          <w:rFonts w:ascii="Arial" w:eastAsia="Times New Roman" w:hAnsi="Arial" w:cs="Arial"/>
          <w:b/>
          <w:sz w:val="24"/>
          <w:szCs w:val="24"/>
          <w:lang w:val="de-DE" w:eastAsia="de-DE"/>
        </w:rPr>
      </w:pPr>
    </w:p>
    <w:p w14:paraId="68225AC5" w14:textId="77777777" w:rsidR="00BD0A9E" w:rsidRPr="00347A4B" w:rsidRDefault="00BD0A9E" w:rsidP="00BD0A9E">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090124E4" w14:textId="32C1B471" w:rsidR="00BD0A9E"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00F83325">
        <w:rPr>
          <w:rFonts w:ascii="Arial" w:hAnsi="Arial"/>
        </w:rPr>
      </w:r>
      <w:r w:rsidR="00F83325">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A (</w:t>
      </w:r>
      <w:r w:rsidR="00B11FDB">
        <w:rPr>
          <w:rFonts w:ascii="Arial" w:eastAsia="Times New Roman" w:hAnsi="Arial" w:cs="Arial"/>
          <w:lang w:val="de-DE" w:eastAsia="de-DE"/>
        </w:rPr>
        <w:t>4</w:t>
      </w:r>
      <w:r>
        <w:rPr>
          <w:rFonts w:ascii="Arial" w:eastAsia="Times New Roman" w:hAnsi="Arial" w:cs="Arial"/>
          <w:lang w:val="de-DE" w:eastAsia="de-DE"/>
        </w:rPr>
        <w:t xml:space="preserve"> Jahre)</w:t>
      </w:r>
    </w:p>
    <w:p w14:paraId="0BF0FE4C" w14:textId="77777777" w:rsidR="00BD0A9E" w:rsidRPr="00CC693A"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00F83325">
        <w:rPr>
          <w:rFonts w:ascii="Arial" w:hAnsi="Arial"/>
        </w:rPr>
      </w:r>
      <w:r w:rsidR="00F83325">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B (2 Jahre)</w:t>
      </w:r>
    </w:p>
    <w:p w14:paraId="37585751" w14:textId="77777777" w:rsidR="00BD0A9E" w:rsidRDefault="00BD0A9E" w:rsidP="00BD0A9E">
      <w:pPr>
        <w:spacing w:after="0"/>
        <w:rPr>
          <w:rFonts w:ascii="Arial" w:hAnsi="Arial" w:cs="Arial"/>
        </w:rPr>
      </w:pPr>
    </w:p>
    <w:p w14:paraId="531A909F" w14:textId="77777777" w:rsidR="00BD0A9E" w:rsidRDefault="00BD0A9E" w:rsidP="00BD0A9E">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D2B0791" w14:textId="77777777" w:rsidR="00BD0A9E" w:rsidRDefault="00BD0A9E" w:rsidP="00BD0A9E">
      <w:pPr>
        <w:spacing w:after="0"/>
        <w:rPr>
          <w:rFonts w:ascii="Arial" w:hAnsi="Arial" w:cs="Arial"/>
        </w:rPr>
      </w:pPr>
    </w:p>
    <w:tbl>
      <w:tblPr>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364"/>
        <w:gridCol w:w="1701"/>
      </w:tblGrid>
      <w:tr w:rsidR="00BD0A9E" w:rsidRPr="00444149" w14:paraId="12B82A94" w14:textId="77777777" w:rsidTr="00731E33">
        <w:tc>
          <w:tcPr>
            <w:tcW w:w="8364" w:type="dxa"/>
          </w:tcPr>
          <w:p w14:paraId="36CE1D6B" w14:textId="77777777" w:rsidR="00BD0A9E" w:rsidRPr="009F5F21" w:rsidRDefault="00BD0A9E" w:rsidP="00DF282F">
            <w:pPr>
              <w:keepNext/>
              <w:tabs>
                <w:tab w:val="left" w:pos="851"/>
                <w:tab w:val="left" w:pos="1276"/>
              </w:tabs>
              <w:spacing w:line="280" w:lineRule="atLeast"/>
              <w:jc w:val="both"/>
              <w:outlineLvl w:val="6"/>
              <w:rPr>
                <w:rFonts w:ascii="Arial" w:hAnsi="Arial" w:cs="Arial"/>
                <w:b/>
              </w:rPr>
            </w:pPr>
            <w:r w:rsidRPr="009F5F21">
              <w:rPr>
                <w:rFonts w:ascii="Arial" w:hAnsi="Arial" w:cs="Arial"/>
                <w:b/>
              </w:rPr>
              <w:t>Eigenschaft der Weiterbildungsstätte</w:t>
            </w:r>
          </w:p>
        </w:tc>
        <w:tc>
          <w:tcPr>
            <w:tcW w:w="1701" w:type="dxa"/>
          </w:tcPr>
          <w:p w14:paraId="1C4B6040" w14:textId="77777777" w:rsidR="00BD0A9E" w:rsidRPr="00444149" w:rsidRDefault="00BD0A9E" w:rsidP="00E27449">
            <w:pPr>
              <w:keepNext/>
              <w:tabs>
                <w:tab w:val="left" w:pos="851"/>
                <w:tab w:val="left" w:pos="1276"/>
              </w:tabs>
              <w:spacing w:after="0" w:line="280" w:lineRule="atLeast"/>
              <w:jc w:val="center"/>
              <w:outlineLvl w:val="6"/>
              <w:rPr>
                <w:rFonts w:ascii="Arial" w:hAnsi="Arial" w:cs="Arial"/>
                <w:b/>
              </w:rPr>
            </w:pPr>
            <w:r w:rsidRPr="00444149">
              <w:rPr>
                <w:rFonts w:ascii="Arial" w:hAnsi="Arial" w:cs="Arial"/>
                <w:b/>
              </w:rPr>
              <w:t>Ihre Angaben</w:t>
            </w:r>
          </w:p>
        </w:tc>
      </w:tr>
      <w:tr w:rsidR="00E77C75" w:rsidRPr="003C2CE2" w14:paraId="7DDCC0D3" w14:textId="77777777" w:rsidTr="00731E33">
        <w:tc>
          <w:tcPr>
            <w:tcW w:w="8364" w:type="dxa"/>
          </w:tcPr>
          <w:p w14:paraId="3E463380" w14:textId="56F3FFFE" w:rsidR="00E77C75" w:rsidRPr="003C2CE2" w:rsidRDefault="00E77C75" w:rsidP="00E77C75">
            <w:pPr>
              <w:keepNext/>
              <w:tabs>
                <w:tab w:val="left" w:pos="851"/>
                <w:tab w:val="left" w:pos="1276"/>
              </w:tabs>
              <w:spacing w:line="280" w:lineRule="atLeast"/>
              <w:jc w:val="both"/>
              <w:outlineLvl w:val="6"/>
              <w:rPr>
                <w:rFonts w:ascii="Arial" w:hAnsi="Arial" w:cs="Arial"/>
                <w:b/>
              </w:rPr>
            </w:pPr>
            <w:r>
              <w:rPr>
                <w:rFonts w:ascii="Arial" w:hAnsi="Arial" w:cs="Arial"/>
                <w:snapToGrid w:val="0"/>
              </w:rPr>
              <w:t>Klinik, Abteilung</w:t>
            </w:r>
            <w:r w:rsidRPr="00CF72EB">
              <w:rPr>
                <w:rFonts w:ascii="Arial" w:hAnsi="Arial" w:cs="Arial"/>
                <w:snapToGrid w:val="0"/>
              </w:rPr>
              <w:t xml:space="preserve"> oder In</w:t>
            </w:r>
            <w:r>
              <w:rPr>
                <w:rFonts w:ascii="Arial" w:hAnsi="Arial" w:cs="Arial"/>
                <w:snapToGrid w:val="0"/>
              </w:rPr>
              <w:t>stitut</w:t>
            </w:r>
            <w:r w:rsidRPr="00CF72EB">
              <w:rPr>
                <w:rFonts w:ascii="Arial" w:hAnsi="Arial" w:cs="Arial"/>
                <w:snapToGrid w:val="0"/>
              </w:rPr>
              <w:t xml:space="preserve"> für Klinische Pharmakologie und/oder Klinische Toxikologie </w:t>
            </w:r>
            <w:r>
              <w:rPr>
                <w:rFonts w:ascii="Arial" w:hAnsi="Arial" w:cs="Arial"/>
                <w:snapToGrid w:val="0"/>
              </w:rPr>
              <w:t xml:space="preserve">in einem Spital der </w:t>
            </w:r>
            <w:r w:rsidRPr="00CC5530">
              <w:rPr>
                <w:rFonts w:ascii="Arial" w:hAnsi="Arial" w:cs="Arial"/>
              </w:rPr>
              <w:t>Tertiärversorgung (Universitäts- oder Zentrumsspital)</w:t>
            </w:r>
          </w:p>
        </w:tc>
        <w:tc>
          <w:tcPr>
            <w:tcW w:w="1701" w:type="dxa"/>
            <w:vAlign w:val="center"/>
          </w:tcPr>
          <w:p w14:paraId="26329722" w14:textId="6375CF31" w:rsidR="00E77C75" w:rsidRPr="00E77C75" w:rsidRDefault="00E77C75" w:rsidP="00E77C75">
            <w:pPr>
              <w:spacing w:after="0"/>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E77C75" w:rsidRPr="003C2CE2" w14:paraId="1701B3F9" w14:textId="77777777" w:rsidTr="00731E33">
        <w:tc>
          <w:tcPr>
            <w:tcW w:w="8364" w:type="dxa"/>
          </w:tcPr>
          <w:p w14:paraId="18DE57D0" w14:textId="69B0A889" w:rsidR="00E77C75" w:rsidRPr="003C2CE2" w:rsidRDefault="00E77C75" w:rsidP="00E77C75">
            <w:pPr>
              <w:keepNext/>
              <w:tabs>
                <w:tab w:val="left" w:pos="851"/>
                <w:tab w:val="left" w:pos="1276"/>
              </w:tabs>
              <w:spacing w:line="280" w:lineRule="atLeast"/>
              <w:outlineLvl w:val="6"/>
              <w:rPr>
                <w:rFonts w:ascii="Arial" w:hAnsi="Arial" w:cs="Arial"/>
              </w:rPr>
            </w:pPr>
            <w:r>
              <w:rPr>
                <w:rFonts w:ascii="Arial" w:hAnsi="Arial" w:cs="Arial"/>
                <w:snapToGrid w:val="0"/>
              </w:rPr>
              <w:t>K</w:t>
            </w:r>
            <w:r w:rsidRPr="00CF72EB">
              <w:rPr>
                <w:rFonts w:ascii="Arial" w:hAnsi="Arial" w:cs="Arial"/>
                <w:snapToGrid w:val="0"/>
              </w:rPr>
              <w:t>linische Forschungsabteilung, ärztliche</w:t>
            </w:r>
            <w:r>
              <w:rPr>
                <w:rFonts w:ascii="Arial" w:hAnsi="Arial" w:cs="Arial"/>
                <w:snapToGrid w:val="0"/>
              </w:rPr>
              <w:t>r</w:t>
            </w:r>
            <w:r w:rsidRPr="00CF72EB">
              <w:rPr>
                <w:rFonts w:ascii="Arial" w:hAnsi="Arial" w:cs="Arial"/>
                <w:snapToGrid w:val="0"/>
              </w:rPr>
              <w:t xml:space="preserve"> Dienst </w:t>
            </w:r>
            <w:r>
              <w:rPr>
                <w:rFonts w:ascii="Arial" w:hAnsi="Arial" w:cs="Arial"/>
                <w:snapToGrid w:val="0"/>
              </w:rPr>
              <w:t>einer</w:t>
            </w:r>
            <w:r w:rsidRPr="00CF72EB">
              <w:rPr>
                <w:rFonts w:ascii="Arial" w:hAnsi="Arial" w:cs="Arial"/>
                <w:snapToGrid w:val="0"/>
              </w:rPr>
              <w:t xml:space="preserve"> Arzneimittelbehörde</w:t>
            </w:r>
            <w:r>
              <w:rPr>
                <w:rFonts w:ascii="Arial" w:hAnsi="Arial" w:cs="Arial"/>
                <w:snapToGrid w:val="0"/>
              </w:rPr>
              <w:t xml:space="preserve"> </w:t>
            </w:r>
          </w:p>
        </w:tc>
        <w:tc>
          <w:tcPr>
            <w:tcW w:w="1701" w:type="dxa"/>
            <w:vAlign w:val="center"/>
          </w:tcPr>
          <w:p w14:paraId="24DB9577" w14:textId="24FFE717" w:rsidR="00E77C75" w:rsidRPr="003C6B48" w:rsidRDefault="00E77C75" w:rsidP="00E77C75">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E77C75" w:rsidRPr="003C2CE2" w14:paraId="35D0DFEA" w14:textId="77777777" w:rsidTr="00731E33">
        <w:tc>
          <w:tcPr>
            <w:tcW w:w="8364" w:type="dxa"/>
          </w:tcPr>
          <w:p w14:paraId="376224B5" w14:textId="393E73E0" w:rsidR="00E77C75" w:rsidRPr="003C2CE2" w:rsidRDefault="00E77C75" w:rsidP="00E77C75">
            <w:pPr>
              <w:keepNext/>
              <w:tabs>
                <w:tab w:val="left" w:pos="851"/>
                <w:tab w:val="left" w:pos="1276"/>
              </w:tabs>
              <w:spacing w:line="280" w:lineRule="atLeast"/>
              <w:outlineLvl w:val="6"/>
              <w:rPr>
                <w:rFonts w:ascii="Arial" w:hAnsi="Arial" w:cs="Arial"/>
              </w:rPr>
            </w:pPr>
            <w:r w:rsidRPr="00CF72EB">
              <w:rPr>
                <w:rFonts w:ascii="Arial" w:hAnsi="Arial" w:cs="Arial"/>
                <w:snapToGrid w:val="0"/>
              </w:rPr>
              <w:t>Arzneimittelnebenwirkungs- und</w:t>
            </w:r>
            <w:r>
              <w:rPr>
                <w:rFonts w:ascii="Arial" w:hAnsi="Arial" w:cs="Arial"/>
                <w:snapToGrid w:val="0"/>
              </w:rPr>
              <w:t xml:space="preserve"> / oder</w:t>
            </w:r>
            <w:r w:rsidRPr="00CF72EB">
              <w:rPr>
                <w:rFonts w:ascii="Arial" w:hAnsi="Arial" w:cs="Arial"/>
                <w:snapToGrid w:val="0"/>
              </w:rPr>
              <w:t xml:space="preserve"> Toxikologie-Informationszentr</w:t>
            </w:r>
            <w:r>
              <w:rPr>
                <w:rFonts w:ascii="Arial" w:hAnsi="Arial" w:cs="Arial"/>
                <w:snapToGrid w:val="0"/>
              </w:rPr>
              <w:t xml:space="preserve">um </w:t>
            </w:r>
          </w:p>
        </w:tc>
        <w:tc>
          <w:tcPr>
            <w:tcW w:w="1701" w:type="dxa"/>
            <w:vAlign w:val="center"/>
          </w:tcPr>
          <w:p w14:paraId="4B271802" w14:textId="085130FB" w:rsidR="00E77C75" w:rsidRPr="003C6B48" w:rsidRDefault="00E77C75" w:rsidP="00E77C75">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E77C75" w:rsidRPr="003C2CE2" w14:paraId="0A038016" w14:textId="77777777" w:rsidTr="00731E33">
        <w:tc>
          <w:tcPr>
            <w:tcW w:w="8364" w:type="dxa"/>
          </w:tcPr>
          <w:p w14:paraId="292AF005" w14:textId="2BF025A1" w:rsidR="00E77C75" w:rsidRPr="003C2CE2" w:rsidRDefault="00E77C75" w:rsidP="00E77C75">
            <w:pPr>
              <w:keepNext/>
              <w:tabs>
                <w:tab w:val="left" w:pos="851"/>
                <w:tab w:val="left" w:pos="1276"/>
              </w:tabs>
              <w:spacing w:line="280" w:lineRule="atLeast"/>
              <w:outlineLvl w:val="6"/>
              <w:rPr>
                <w:rFonts w:ascii="Arial" w:hAnsi="Arial" w:cs="Arial"/>
              </w:rPr>
            </w:pPr>
            <w:r>
              <w:rPr>
                <w:rFonts w:ascii="Arial" w:hAnsi="Arial" w:cs="Arial"/>
                <w:snapToGrid w:val="0"/>
              </w:rPr>
              <w:t>K</w:t>
            </w:r>
            <w:r w:rsidRPr="00CF72EB">
              <w:rPr>
                <w:rFonts w:ascii="Arial" w:hAnsi="Arial" w:cs="Arial"/>
                <w:snapToGrid w:val="0"/>
              </w:rPr>
              <w:t>linisch-pharmakologische, klinisch-toxikologische oder pharmazeutisch-medizinische Abteilung der Industrie</w:t>
            </w:r>
          </w:p>
        </w:tc>
        <w:tc>
          <w:tcPr>
            <w:tcW w:w="1701" w:type="dxa"/>
            <w:vAlign w:val="center"/>
          </w:tcPr>
          <w:p w14:paraId="6F46CBC0" w14:textId="2DD0B592" w:rsidR="00E77C75" w:rsidRPr="003C6B48" w:rsidRDefault="00E77C75" w:rsidP="00E77C75">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E77C75" w:rsidRPr="003C2CE2" w14:paraId="5365EAF7" w14:textId="77777777" w:rsidTr="00731E33">
        <w:tc>
          <w:tcPr>
            <w:tcW w:w="8364" w:type="dxa"/>
          </w:tcPr>
          <w:p w14:paraId="43557EDE" w14:textId="36E04F61" w:rsidR="00E77C75" w:rsidRPr="003C2CE2" w:rsidRDefault="00E77C75" w:rsidP="00E77C75">
            <w:pPr>
              <w:spacing w:line="280" w:lineRule="atLeast"/>
              <w:rPr>
                <w:rFonts w:ascii="Arial" w:hAnsi="Arial" w:cs="Arial"/>
              </w:rPr>
            </w:pPr>
            <w:r>
              <w:rPr>
                <w:rFonts w:ascii="Arial" w:hAnsi="Arial" w:cs="Arial"/>
              </w:rPr>
              <w:t>Klinisch-pharmakologisches Auftragsforschungsinstitut</w:t>
            </w:r>
          </w:p>
        </w:tc>
        <w:tc>
          <w:tcPr>
            <w:tcW w:w="1701" w:type="dxa"/>
            <w:vAlign w:val="center"/>
          </w:tcPr>
          <w:p w14:paraId="41F0F14D" w14:textId="3AD27835" w:rsidR="00E77C75" w:rsidRPr="003C6B48" w:rsidRDefault="00E77C75" w:rsidP="00E77C75">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E77C75" w:rsidRPr="003C2CE2" w14:paraId="557CFFD9" w14:textId="77777777" w:rsidTr="00731E33">
        <w:tc>
          <w:tcPr>
            <w:tcW w:w="8364" w:type="dxa"/>
          </w:tcPr>
          <w:p w14:paraId="07F3F753" w14:textId="5652176D" w:rsidR="00E77C75" w:rsidRPr="003C2CE2" w:rsidRDefault="00E77C75" w:rsidP="00E77C75">
            <w:pPr>
              <w:spacing w:line="280" w:lineRule="atLeast"/>
              <w:rPr>
                <w:rFonts w:ascii="Arial" w:hAnsi="Arial" w:cs="Arial"/>
              </w:rPr>
            </w:pPr>
            <w:r w:rsidRPr="0079704F">
              <w:rPr>
                <w:rFonts w:ascii="Arial" w:hAnsi="Arial" w:cs="Arial"/>
              </w:rPr>
              <w:t xml:space="preserve">Intensivbehandlungsstation im </w:t>
            </w:r>
            <w:r>
              <w:rPr>
                <w:rFonts w:ascii="Arial" w:hAnsi="Arial" w:cs="Arial"/>
              </w:rPr>
              <w:t>Spital vorhanden</w:t>
            </w:r>
          </w:p>
        </w:tc>
        <w:tc>
          <w:tcPr>
            <w:tcW w:w="1701" w:type="dxa"/>
            <w:vAlign w:val="center"/>
          </w:tcPr>
          <w:p w14:paraId="3563ECB7" w14:textId="375A5EBF" w:rsidR="00E77C75" w:rsidRPr="003C6B48" w:rsidRDefault="00E77C75" w:rsidP="00E77C75">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2A314D" w:rsidRPr="003C2CE2" w14:paraId="4A59AA53" w14:textId="77777777" w:rsidTr="00FD584A">
        <w:tc>
          <w:tcPr>
            <w:tcW w:w="8364" w:type="dxa"/>
            <w:vAlign w:val="center"/>
          </w:tcPr>
          <w:p w14:paraId="58B6B5AC" w14:textId="77777777" w:rsidR="002A314D" w:rsidRDefault="002A314D" w:rsidP="008504F8">
            <w:pPr>
              <w:spacing w:line="280" w:lineRule="atLeast"/>
              <w:rPr>
                <w:rFonts w:ascii="Arial" w:hAnsi="Arial" w:cs="Arial"/>
                <w:b/>
              </w:rPr>
            </w:pPr>
          </w:p>
        </w:tc>
        <w:tc>
          <w:tcPr>
            <w:tcW w:w="1701" w:type="dxa"/>
            <w:vAlign w:val="center"/>
          </w:tcPr>
          <w:p w14:paraId="746463E8" w14:textId="77777777" w:rsidR="002A314D" w:rsidRPr="003C6B48" w:rsidRDefault="002A314D" w:rsidP="008504F8">
            <w:pPr>
              <w:spacing w:after="0"/>
              <w:rPr>
                <w:lang w:val="de-DE"/>
              </w:rPr>
            </w:pPr>
          </w:p>
        </w:tc>
      </w:tr>
      <w:tr w:rsidR="008504F8" w:rsidRPr="003C2CE2" w14:paraId="110E28B7" w14:textId="77777777" w:rsidTr="00FD584A">
        <w:tc>
          <w:tcPr>
            <w:tcW w:w="8364" w:type="dxa"/>
            <w:vAlign w:val="center"/>
          </w:tcPr>
          <w:p w14:paraId="6058B302" w14:textId="53F7E55A" w:rsidR="008504F8" w:rsidRPr="003C2CE2" w:rsidRDefault="008504F8" w:rsidP="008504F8">
            <w:pPr>
              <w:spacing w:line="280" w:lineRule="atLeast"/>
              <w:rPr>
                <w:rFonts w:ascii="Arial" w:hAnsi="Arial" w:cs="Arial"/>
              </w:rPr>
            </w:pPr>
            <w:r>
              <w:rPr>
                <w:rFonts w:ascii="Arial" w:hAnsi="Arial" w:cs="Arial"/>
                <w:b/>
              </w:rPr>
              <w:t>Ärztliche Mitarbeiterinnen und Mitarbeiter</w:t>
            </w:r>
          </w:p>
        </w:tc>
        <w:tc>
          <w:tcPr>
            <w:tcW w:w="1701" w:type="dxa"/>
            <w:vAlign w:val="center"/>
          </w:tcPr>
          <w:p w14:paraId="45D82B9E" w14:textId="43690B0C" w:rsidR="008504F8" w:rsidRPr="003C6B48" w:rsidRDefault="008504F8" w:rsidP="008504F8">
            <w:pPr>
              <w:spacing w:after="0"/>
              <w:rPr>
                <w:lang w:val="de-DE"/>
              </w:rPr>
            </w:pPr>
          </w:p>
        </w:tc>
      </w:tr>
      <w:tr w:rsidR="008504F8" w:rsidRPr="003C2CE2" w14:paraId="0670F97D" w14:textId="77777777" w:rsidTr="00731E33">
        <w:tc>
          <w:tcPr>
            <w:tcW w:w="8364" w:type="dxa"/>
          </w:tcPr>
          <w:p w14:paraId="673C9F90" w14:textId="68269B63" w:rsidR="008504F8" w:rsidRPr="003C2CE2" w:rsidRDefault="008504F8" w:rsidP="008504F8">
            <w:pPr>
              <w:spacing w:line="280" w:lineRule="atLeast"/>
              <w:rPr>
                <w:rFonts w:ascii="Arial" w:hAnsi="Arial" w:cs="Arial"/>
              </w:rPr>
            </w:pPr>
            <w:r>
              <w:rPr>
                <w:rFonts w:ascii="Arial" w:hAnsi="Arial" w:cs="Arial"/>
              </w:rPr>
              <w:t xml:space="preserve">Leiterin / </w:t>
            </w:r>
            <w:r w:rsidRPr="00CC5530">
              <w:rPr>
                <w:rFonts w:ascii="Arial" w:hAnsi="Arial" w:cs="Arial"/>
              </w:rPr>
              <w:t xml:space="preserve">Leiter der Weiterbildungsstätte vollamtlich in </w:t>
            </w:r>
            <w:r>
              <w:rPr>
                <w:rFonts w:ascii="Arial" w:hAnsi="Arial" w:cs="Arial"/>
              </w:rPr>
              <w:t>Klinischer Pharmakologie und Toxikologie</w:t>
            </w:r>
            <w:r w:rsidRPr="00CC5530">
              <w:rPr>
                <w:rFonts w:ascii="Arial" w:hAnsi="Arial" w:cs="Arial"/>
              </w:rPr>
              <w:t xml:space="preserve"> tätig</w:t>
            </w:r>
          </w:p>
        </w:tc>
        <w:tc>
          <w:tcPr>
            <w:tcW w:w="1701" w:type="dxa"/>
            <w:vAlign w:val="center"/>
          </w:tcPr>
          <w:p w14:paraId="1BC2422A" w14:textId="0D94515C" w:rsidR="008504F8" w:rsidRPr="003C6B48" w:rsidRDefault="006E4D26" w:rsidP="008504F8">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8504F8" w:rsidRPr="00032AAB" w14:paraId="7D6D6595" w14:textId="77777777" w:rsidTr="00731E33">
        <w:tc>
          <w:tcPr>
            <w:tcW w:w="8364" w:type="dxa"/>
          </w:tcPr>
          <w:p w14:paraId="6402739C" w14:textId="2C24222C" w:rsidR="008504F8" w:rsidRPr="00032AAB" w:rsidRDefault="008504F8" w:rsidP="008504F8">
            <w:pPr>
              <w:keepNext/>
              <w:tabs>
                <w:tab w:val="left" w:pos="851"/>
                <w:tab w:val="left" w:pos="1276"/>
              </w:tabs>
              <w:spacing w:line="280" w:lineRule="atLeast"/>
              <w:outlineLvl w:val="6"/>
              <w:rPr>
                <w:rFonts w:ascii="Arial" w:hAnsi="Arial" w:cs="Arial"/>
              </w:rPr>
            </w:pPr>
            <w:r>
              <w:rPr>
                <w:rFonts w:ascii="Arial" w:hAnsi="Arial" w:cs="Arial"/>
              </w:rPr>
              <w:t xml:space="preserve">Leiterin / </w:t>
            </w:r>
            <w:r w:rsidRPr="00CC5530">
              <w:rPr>
                <w:rFonts w:ascii="Arial" w:hAnsi="Arial" w:cs="Arial"/>
              </w:rPr>
              <w:t>Leiter habilitiert</w:t>
            </w:r>
          </w:p>
        </w:tc>
        <w:tc>
          <w:tcPr>
            <w:tcW w:w="1701" w:type="dxa"/>
            <w:vAlign w:val="center"/>
          </w:tcPr>
          <w:p w14:paraId="4D1A1A3D" w14:textId="0E01E315" w:rsidR="008504F8" w:rsidRPr="00032AAB" w:rsidRDefault="006E4D26" w:rsidP="006E4D26">
            <w:pPr>
              <w:spacing w:after="0"/>
              <w:rPr>
                <w:rFonts w:ascii="Arial" w:hAnsi="Arial" w:cs="Arial"/>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8504F8" w:rsidRPr="003C2CE2" w14:paraId="2CA4194D" w14:textId="77777777" w:rsidTr="00731E33">
        <w:tc>
          <w:tcPr>
            <w:tcW w:w="8364" w:type="dxa"/>
          </w:tcPr>
          <w:p w14:paraId="371FD4AD" w14:textId="013FB978" w:rsidR="008504F8" w:rsidRPr="003C2CE2" w:rsidRDefault="008504F8" w:rsidP="008504F8">
            <w:pPr>
              <w:keepNext/>
              <w:tabs>
                <w:tab w:val="left" w:pos="851"/>
                <w:tab w:val="left" w:pos="1276"/>
              </w:tabs>
              <w:spacing w:line="280" w:lineRule="atLeast"/>
              <w:outlineLvl w:val="6"/>
              <w:rPr>
                <w:rFonts w:ascii="Arial" w:hAnsi="Arial" w:cs="Arial"/>
                <w:b/>
                <w:bCs/>
              </w:rPr>
            </w:pPr>
            <w:r w:rsidRPr="00CC5530">
              <w:rPr>
                <w:rFonts w:ascii="Arial" w:hAnsi="Arial" w:cs="Arial"/>
              </w:rPr>
              <w:t xml:space="preserve">Anzahl (ohne </w:t>
            </w:r>
            <w:r>
              <w:rPr>
                <w:rFonts w:ascii="Arial" w:hAnsi="Arial" w:cs="Arial"/>
              </w:rPr>
              <w:t xml:space="preserve">Leiterin / </w:t>
            </w:r>
            <w:r w:rsidRPr="00CC5530">
              <w:rPr>
                <w:rFonts w:ascii="Arial" w:hAnsi="Arial" w:cs="Arial"/>
              </w:rPr>
              <w:t xml:space="preserve">Leiter) Leitende </w:t>
            </w:r>
            <w:r>
              <w:rPr>
                <w:rFonts w:ascii="Arial" w:hAnsi="Arial" w:cs="Arial"/>
              </w:rPr>
              <w:t xml:space="preserve">Ärztinnen / </w:t>
            </w:r>
            <w:r w:rsidRPr="00CC5530">
              <w:rPr>
                <w:rFonts w:ascii="Arial" w:hAnsi="Arial" w:cs="Arial"/>
              </w:rPr>
              <w:t xml:space="preserve">Ärzte und </w:t>
            </w:r>
            <w:r>
              <w:rPr>
                <w:rFonts w:ascii="Arial" w:hAnsi="Arial" w:cs="Arial"/>
              </w:rPr>
              <w:t xml:space="preserve">Oberärztinnen / </w:t>
            </w:r>
            <w:r w:rsidRPr="00CC5530">
              <w:rPr>
                <w:rFonts w:ascii="Arial" w:hAnsi="Arial" w:cs="Arial"/>
              </w:rPr>
              <w:t xml:space="preserve">Oberärzte mit Facharzttitel </w:t>
            </w:r>
            <w:r>
              <w:rPr>
                <w:rFonts w:ascii="Arial" w:hAnsi="Arial" w:cs="Arial"/>
              </w:rPr>
              <w:t>in Klinischer Pharmakologie und Toxikologie</w:t>
            </w:r>
            <w:r w:rsidRPr="00CC5530">
              <w:rPr>
                <w:rFonts w:ascii="Arial" w:hAnsi="Arial" w:cs="Arial"/>
              </w:rPr>
              <w:t>, mindestens (Stellen-%):</w:t>
            </w:r>
          </w:p>
        </w:tc>
        <w:tc>
          <w:tcPr>
            <w:tcW w:w="1701" w:type="dxa"/>
            <w:vAlign w:val="center"/>
          </w:tcPr>
          <w:p w14:paraId="5B2EC763" w14:textId="20283B23" w:rsidR="008504F8" w:rsidRPr="003C2CE2" w:rsidRDefault="006E4D26" w:rsidP="008504F8">
            <w:pPr>
              <w:keepNext/>
              <w:tabs>
                <w:tab w:val="left" w:pos="851"/>
                <w:tab w:val="left" w:pos="1276"/>
              </w:tabs>
              <w:spacing w:after="0" w:line="280" w:lineRule="atLeast"/>
              <w:jc w:val="center"/>
              <w:outlineLvl w:val="6"/>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001A55AB">
              <w:rPr>
                <w:rFonts w:ascii="Arial" w:hAnsi="Arial" w:cs="Arial"/>
              </w:rPr>
              <w:t>%</w:t>
            </w:r>
          </w:p>
        </w:tc>
      </w:tr>
      <w:tr w:rsidR="008504F8" w:rsidRPr="003C2CE2" w14:paraId="6F6F9426" w14:textId="77777777" w:rsidTr="00731E33">
        <w:tc>
          <w:tcPr>
            <w:tcW w:w="8364" w:type="dxa"/>
          </w:tcPr>
          <w:p w14:paraId="2E6B6DE0" w14:textId="04BAEF03" w:rsidR="008504F8" w:rsidRPr="003C2CE2" w:rsidRDefault="008504F8" w:rsidP="008504F8">
            <w:pPr>
              <w:keepNext/>
              <w:tabs>
                <w:tab w:val="left" w:pos="851"/>
                <w:tab w:val="left" w:pos="1276"/>
              </w:tabs>
              <w:spacing w:line="280" w:lineRule="atLeast"/>
              <w:outlineLvl w:val="6"/>
              <w:rPr>
                <w:rFonts w:ascii="Arial" w:hAnsi="Arial" w:cs="Arial"/>
              </w:rPr>
            </w:pPr>
            <w:r w:rsidRPr="00CC5530">
              <w:rPr>
                <w:rFonts w:ascii="Arial" w:hAnsi="Arial" w:cs="Arial"/>
              </w:rPr>
              <w:t>Weiterbildungsstellen, mindestens (Stellen-%):</w:t>
            </w:r>
          </w:p>
        </w:tc>
        <w:tc>
          <w:tcPr>
            <w:tcW w:w="1701" w:type="dxa"/>
            <w:vAlign w:val="center"/>
          </w:tcPr>
          <w:p w14:paraId="6A62E81D" w14:textId="4FFC6129" w:rsidR="008504F8" w:rsidRPr="003C6B48" w:rsidRDefault="006E4D26" w:rsidP="006E4D26">
            <w:pPr>
              <w:keepNext/>
              <w:tabs>
                <w:tab w:val="left" w:pos="851"/>
                <w:tab w:val="left" w:pos="1276"/>
              </w:tabs>
              <w:spacing w:after="0" w:line="280" w:lineRule="atLeast"/>
              <w:jc w:val="center"/>
              <w:outlineLvl w:val="6"/>
              <w:rPr>
                <w:lang w:val="de-DE"/>
              </w:rPr>
            </w:pPr>
            <w:r w:rsidRPr="00837073">
              <w:rPr>
                <w:rFonts w:ascii="Arial" w:hAnsi="Arial" w:cs="Arial"/>
                <w:noProof/>
              </w:rPr>
              <w:fldChar w:fldCharType="begin">
                <w:ffData>
                  <w:name w:val=""/>
                  <w:enabled/>
                  <w:calcOnExit w:val="0"/>
                  <w:textInput/>
                </w:ffData>
              </w:fldChar>
            </w:r>
            <w:r w:rsidRPr="00837073">
              <w:rPr>
                <w:rFonts w:ascii="Arial" w:hAnsi="Arial" w:cs="Arial"/>
                <w:noProof/>
              </w:rPr>
              <w:instrText xml:space="preserve"> FORMTEXT </w:instrText>
            </w:r>
            <w:r w:rsidRPr="00837073">
              <w:rPr>
                <w:rFonts w:ascii="Arial" w:hAnsi="Arial" w:cs="Arial"/>
                <w:noProof/>
              </w:rPr>
            </w:r>
            <w:r w:rsidRPr="00837073">
              <w:rPr>
                <w:rFonts w:ascii="Arial" w:hAnsi="Arial" w:cs="Arial"/>
                <w:noProof/>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fldChar w:fldCharType="end"/>
            </w:r>
            <w:r w:rsidR="001A55AB">
              <w:rPr>
                <w:rFonts w:ascii="Arial" w:hAnsi="Arial" w:cs="Arial"/>
                <w:noProof/>
              </w:rPr>
              <w:t>%</w:t>
            </w:r>
          </w:p>
        </w:tc>
      </w:tr>
      <w:tr w:rsidR="008504F8" w:rsidRPr="003C2CE2" w14:paraId="66A724F7" w14:textId="77777777" w:rsidTr="00731E33">
        <w:tc>
          <w:tcPr>
            <w:tcW w:w="8364" w:type="dxa"/>
          </w:tcPr>
          <w:p w14:paraId="26935A10" w14:textId="4E125CA7" w:rsidR="008504F8" w:rsidRPr="003C2CE2" w:rsidRDefault="008504F8" w:rsidP="008504F8">
            <w:pPr>
              <w:spacing w:line="280" w:lineRule="atLeast"/>
              <w:rPr>
                <w:rFonts w:ascii="Arial" w:hAnsi="Arial" w:cs="Arial"/>
              </w:rPr>
            </w:pPr>
            <w:r w:rsidRPr="00CC5530">
              <w:rPr>
                <w:rFonts w:ascii="Arial" w:hAnsi="Arial" w:cs="Arial"/>
              </w:rPr>
              <w:t xml:space="preserve">Zahlenverhältnis von </w:t>
            </w:r>
            <w:r>
              <w:rPr>
                <w:rFonts w:ascii="Arial" w:hAnsi="Arial" w:cs="Arial"/>
              </w:rPr>
              <w:t xml:space="preserve">Weiterbildnerinnen / </w:t>
            </w:r>
            <w:r w:rsidRPr="00CC5530">
              <w:rPr>
                <w:rFonts w:ascii="Arial" w:hAnsi="Arial" w:cs="Arial"/>
              </w:rPr>
              <w:t xml:space="preserve">Weiterbildnern mit Facharzttitel zu </w:t>
            </w:r>
            <w:r>
              <w:rPr>
                <w:rFonts w:ascii="Arial" w:hAnsi="Arial" w:cs="Arial"/>
              </w:rPr>
              <w:t>Ärztinnen / Ärzten in Weiterbildung</w:t>
            </w:r>
            <w:r w:rsidRPr="00CC5530">
              <w:rPr>
                <w:rFonts w:ascii="Arial" w:hAnsi="Arial" w:cs="Arial"/>
              </w:rPr>
              <w:t xml:space="preserve">, minimal </w:t>
            </w:r>
            <w:r>
              <w:rPr>
                <w:rStyle w:val="Funotenzeichen"/>
                <w:rFonts w:ascii="Arial" w:hAnsi="Arial" w:cs="Arial"/>
              </w:rPr>
              <w:footnoteReference w:id="1"/>
            </w:r>
          </w:p>
        </w:tc>
        <w:tc>
          <w:tcPr>
            <w:tcW w:w="1701" w:type="dxa"/>
            <w:vAlign w:val="center"/>
          </w:tcPr>
          <w:p w14:paraId="7DF2CCC9" w14:textId="56EA6402" w:rsidR="008504F8" w:rsidRPr="003C6B48" w:rsidRDefault="006E4D26" w:rsidP="008504F8">
            <w:pPr>
              <w:spacing w:after="0"/>
              <w:rPr>
                <w:lang w:val="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 </w:t>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3C2CE2" w14:paraId="02B4B347" w14:textId="77777777" w:rsidTr="00731E33">
        <w:tc>
          <w:tcPr>
            <w:tcW w:w="8364" w:type="dxa"/>
          </w:tcPr>
          <w:p w14:paraId="354211F1" w14:textId="058235C5" w:rsidR="00BD0A9E" w:rsidRPr="003C2CE2" w:rsidRDefault="00BD0A9E" w:rsidP="00731E33">
            <w:pPr>
              <w:spacing w:line="280" w:lineRule="atLeast"/>
              <w:rPr>
                <w:rFonts w:ascii="Arial" w:hAnsi="Arial" w:cs="Arial"/>
              </w:rPr>
            </w:pPr>
          </w:p>
        </w:tc>
        <w:tc>
          <w:tcPr>
            <w:tcW w:w="1701" w:type="dxa"/>
            <w:vAlign w:val="center"/>
          </w:tcPr>
          <w:p w14:paraId="42B707D8" w14:textId="73E3CED2" w:rsidR="00BD0A9E" w:rsidRPr="003C6B48" w:rsidRDefault="00BD0A9E" w:rsidP="00E27449">
            <w:pPr>
              <w:spacing w:after="0"/>
              <w:rPr>
                <w:lang w:val="de-DE"/>
              </w:rPr>
            </w:pPr>
          </w:p>
        </w:tc>
      </w:tr>
      <w:tr w:rsidR="00CB1D87" w:rsidRPr="003C2CE2" w14:paraId="4C151D74" w14:textId="77777777" w:rsidTr="00314A54">
        <w:tc>
          <w:tcPr>
            <w:tcW w:w="8364" w:type="dxa"/>
            <w:vAlign w:val="center"/>
          </w:tcPr>
          <w:p w14:paraId="591A918E" w14:textId="2C8C8A35" w:rsidR="00CB1D87" w:rsidRPr="003C2CE2" w:rsidRDefault="00CB1D87" w:rsidP="00CB1D87">
            <w:pPr>
              <w:spacing w:line="280" w:lineRule="atLeast"/>
              <w:rPr>
                <w:rFonts w:ascii="Arial" w:hAnsi="Arial" w:cs="Arial"/>
              </w:rPr>
            </w:pPr>
            <w:r>
              <w:rPr>
                <w:rFonts w:ascii="Arial" w:hAnsi="Arial" w:cs="Arial"/>
                <w:b/>
              </w:rPr>
              <w:t>Theoretische und p</w:t>
            </w:r>
            <w:r w:rsidRPr="00387B9F">
              <w:rPr>
                <w:rFonts w:ascii="Arial" w:hAnsi="Arial" w:cs="Arial"/>
                <w:b/>
              </w:rPr>
              <w:t>raktische Weiterbildung</w:t>
            </w:r>
          </w:p>
        </w:tc>
        <w:tc>
          <w:tcPr>
            <w:tcW w:w="1701" w:type="dxa"/>
            <w:vAlign w:val="center"/>
          </w:tcPr>
          <w:p w14:paraId="6B4EE0DB" w14:textId="77777777" w:rsidR="00CB1D87" w:rsidRPr="003C6B48" w:rsidRDefault="00CB1D87" w:rsidP="00CB1D87">
            <w:pPr>
              <w:spacing w:after="0"/>
              <w:rPr>
                <w:lang w:val="de-DE"/>
              </w:rPr>
            </w:pPr>
          </w:p>
        </w:tc>
      </w:tr>
      <w:tr w:rsidR="00CB1D87" w:rsidRPr="003C2CE2" w14:paraId="04C874F0" w14:textId="77777777" w:rsidTr="00731E33">
        <w:tc>
          <w:tcPr>
            <w:tcW w:w="8364" w:type="dxa"/>
          </w:tcPr>
          <w:p w14:paraId="23E6276F" w14:textId="269ED0EC" w:rsidR="00CB1D87" w:rsidRPr="003C2CE2" w:rsidRDefault="00CB1D87" w:rsidP="00CB1D87">
            <w:pPr>
              <w:spacing w:line="280" w:lineRule="atLeast"/>
              <w:rPr>
                <w:rFonts w:ascii="Arial" w:hAnsi="Arial" w:cs="Arial"/>
              </w:rPr>
            </w:pPr>
            <w:r w:rsidRPr="00CC5530">
              <w:rPr>
                <w:rFonts w:ascii="Arial" w:hAnsi="Arial" w:cs="Arial"/>
              </w:rPr>
              <w:t>Vermittlung des gesamten Lernzielkatalogs (s. Ziffer 3 des Weiterbildungsprogramms)</w:t>
            </w:r>
          </w:p>
        </w:tc>
        <w:tc>
          <w:tcPr>
            <w:tcW w:w="1701" w:type="dxa"/>
            <w:vAlign w:val="center"/>
          </w:tcPr>
          <w:p w14:paraId="4F838D16" w14:textId="29372FF0" w:rsidR="00CB1D87" w:rsidRPr="003C6B48" w:rsidRDefault="00CB1D87" w:rsidP="00CB1D87">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CB1D87" w:rsidRPr="003C2CE2" w14:paraId="681D5C99" w14:textId="77777777" w:rsidTr="00731E33">
        <w:tc>
          <w:tcPr>
            <w:tcW w:w="8364" w:type="dxa"/>
          </w:tcPr>
          <w:p w14:paraId="6AACE993" w14:textId="35C1B405" w:rsidR="00CB1D87" w:rsidRPr="003C2CE2" w:rsidRDefault="00CB1D87" w:rsidP="00CB1D87">
            <w:pPr>
              <w:spacing w:line="280" w:lineRule="atLeast"/>
              <w:rPr>
                <w:rFonts w:ascii="Arial" w:hAnsi="Arial" w:cs="Arial"/>
              </w:rPr>
            </w:pPr>
            <w:r w:rsidRPr="00CC5530">
              <w:rPr>
                <w:rFonts w:ascii="Arial" w:hAnsi="Arial" w:cs="Arial"/>
              </w:rPr>
              <w:t xml:space="preserve">Vermittlung eines Teils der Weiterbildung, </w:t>
            </w:r>
            <w:r>
              <w:rPr>
                <w:rFonts w:ascii="Arial" w:hAnsi="Arial" w:cs="Arial"/>
              </w:rPr>
              <w:t>je nach Ausrichtung definiert im Weiterbildungskonzept der Einrichtung</w:t>
            </w:r>
          </w:p>
        </w:tc>
        <w:tc>
          <w:tcPr>
            <w:tcW w:w="1701" w:type="dxa"/>
            <w:vAlign w:val="center"/>
          </w:tcPr>
          <w:p w14:paraId="06899B74" w14:textId="4536CC33" w:rsidR="00CB1D87" w:rsidRPr="003C6B48" w:rsidRDefault="00CB1D87" w:rsidP="00CB1D87">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CB1D87" w:rsidRPr="003C2CE2" w14:paraId="151C2C4B" w14:textId="77777777" w:rsidTr="00F866FC">
        <w:tc>
          <w:tcPr>
            <w:tcW w:w="8364" w:type="dxa"/>
          </w:tcPr>
          <w:p w14:paraId="4AB01CFD" w14:textId="6323E5D4" w:rsidR="00CB1D87" w:rsidRPr="003C2CE2" w:rsidRDefault="00CB1D87" w:rsidP="00CB1D87">
            <w:pPr>
              <w:spacing w:line="280" w:lineRule="atLeast"/>
              <w:rPr>
                <w:rFonts w:ascii="Arial" w:hAnsi="Arial" w:cs="Arial"/>
              </w:rPr>
            </w:pPr>
            <w:r>
              <w:rPr>
                <w:rFonts w:ascii="Arial" w:hAnsi="Arial" w:cs="Arial"/>
              </w:rPr>
              <w:t>Mindestanzahl von Bearbeitungen von klinisch-pharmakologischen und –toxikologischen Konsilien / Beratungen / Anfragen / Meldungen / Dossiers pro Jahr und Weiterzubildenden</w:t>
            </w:r>
          </w:p>
        </w:tc>
        <w:tc>
          <w:tcPr>
            <w:tcW w:w="1701" w:type="dxa"/>
            <w:vAlign w:val="center"/>
          </w:tcPr>
          <w:p w14:paraId="61550135" w14:textId="565B78E9" w:rsidR="00CB1D87" w:rsidRPr="00F866FC" w:rsidRDefault="00CB1D87" w:rsidP="00F866FC">
            <w:pPr>
              <w:keepNext/>
              <w:tabs>
                <w:tab w:val="left" w:pos="851"/>
                <w:tab w:val="left" w:pos="1276"/>
              </w:tabs>
              <w:spacing w:after="0" w:line="280" w:lineRule="atLeast"/>
              <w:jc w:val="center"/>
              <w:outlineLvl w:val="6"/>
              <w:rPr>
                <w:rFonts w:ascii="Arial" w:hAnsi="Arial" w:cs="Arial"/>
                <w:noProof/>
              </w:rPr>
            </w:pPr>
            <w:r w:rsidRPr="00FD530A">
              <w:rPr>
                <w:rFonts w:ascii="Arial" w:hAnsi="Arial" w:cs="Arial"/>
                <w:noProof/>
              </w:rPr>
              <w:fldChar w:fldCharType="begin">
                <w:ffData>
                  <w:name w:val=""/>
                  <w:enabled/>
                  <w:calcOnExit w:val="0"/>
                  <w:textInput/>
                </w:ffData>
              </w:fldChar>
            </w:r>
            <w:r w:rsidRPr="00FD530A">
              <w:rPr>
                <w:rFonts w:ascii="Arial" w:hAnsi="Arial" w:cs="Arial"/>
                <w:noProof/>
              </w:rPr>
              <w:instrText xml:space="preserve"> FORMTEXT </w:instrText>
            </w:r>
            <w:r w:rsidRPr="00FD530A">
              <w:rPr>
                <w:rFonts w:ascii="Arial" w:hAnsi="Arial" w:cs="Arial"/>
                <w:noProof/>
              </w:rPr>
            </w:r>
            <w:r w:rsidRPr="00FD530A">
              <w:rPr>
                <w:rFonts w:ascii="Arial" w:hAnsi="Arial" w:cs="Arial"/>
                <w:noProof/>
              </w:rPr>
              <w:fldChar w:fldCharType="separate"/>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fldChar w:fldCharType="end"/>
            </w:r>
          </w:p>
        </w:tc>
      </w:tr>
      <w:tr w:rsidR="00CB1D87" w:rsidRPr="003C2CE2" w14:paraId="32D3BFE0" w14:textId="77777777" w:rsidTr="00F866FC">
        <w:tc>
          <w:tcPr>
            <w:tcW w:w="8364" w:type="dxa"/>
          </w:tcPr>
          <w:p w14:paraId="23864F80" w14:textId="7334D0D3" w:rsidR="00CB1D87" w:rsidRPr="003C2CE2" w:rsidRDefault="00CB1D87" w:rsidP="00CB1D87">
            <w:pPr>
              <w:spacing w:line="280" w:lineRule="atLeast"/>
              <w:rPr>
                <w:rFonts w:ascii="Arial" w:hAnsi="Arial" w:cs="Arial"/>
              </w:rPr>
            </w:pPr>
            <w:r>
              <w:rPr>
                <w:rFonts w:ascii="Arial" w:hAnsi="Arial" w:cs="Arial"/>
              </w:rPr>
              <w:t>Planung und Durchführung von Klinischen Arzneimittelstudien der Phasen I bis III. (Mindestanzahl pro Jahr)</w:t>
            </w:r>
          </w:p>
        </w:tc>
        <w:tc>
          <w:tcPr>
            <w:tcW w:w="1701" w:type="dxa"/>
            <w:vAlign w:val="center"/>
          </w:tcPr>
          <w:p w14:paraId="72A4AED3" w14:textId="0E3A5DFC" w:rsidR="00CB1D87" w:rsidRPr="00F866FC" w:rsidRDefault="00CB1D87" w:rsidP="00F866FC">
            <w:pPr>
              <w:keepNext/>
              <w:tabs>
                <w:tab w:val="left" w:pos="851"/>
                <w:tab w:val="left" w:pos="1276"/>
              </w:tabs>
              <w:spacing w:after="0" w:line="280" w:lineRule="atLeast"/>
              <w:jc w:val="center"/>
              <w:outlineLvl w:val="6"/>
              <w:rPr>
                <w:rFonts w:ascii="Arial" w:hAnsi="Arial" w:cs="Arial"/>
                <w:noProof/>
              </w:rPr>
            </w:pPr>
            <w:r w:rsidRPr="00FD530A">
              <w:rPr>
                <w:rFonts w:ascii="Arial" w:hAnsi="Arial" w:cs="Arial"/>
                <w:noProof/>
              </w:rPr>
              <w:fldChar w:fldCharType="begin">
                <w:ffData>
                  <w:name w:val=""/>
                  <w:enabled/>
                  <w:calcOnExit w:val="0"/>
                  <w:textInput/>
                </w:ffData>
              </w:fldChar>
            </w:r>
            <w:r w:rsidRPr="00FD530A">
              <w:rPr>
                <w:rFonts w:ascii="Arial" w:hAnsi="Arial" w:cs="Arial"/>
                <w:noProof/>
              </w:rPr>
              <w:instrText xml:space="preserve"> FORMTEXT </w:instrText>
            </w:r>
            <w:r w:rsidRPr="00FD530A">
              <w:rPr>
                <w:rFonts w:ascii="Arial" w:hAnsi="Arial" w:cs="Arial"/>
                <w:noProof/>
              </w:rPr>
            </w:r>
            <w:r w:rsidRPr="00FD530A">
              <w:rPr>
                <w:rFonts w:ascii="Arial" w:hAnsi="Arial" w:cs="Arial"/>
                <w:noProof/>
              </w:rPr>
              <w:fldChar w:fldCharType="separate"/>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fldChar w:fldCharType="end"/>
            </w:r>
          </w:p>
        </w:tc>
      </w:tr>
      <w:tr w:rsidR="00CB1D87" w:rsidRPr="003C2CE2" w14:paraId="1C23BD6E" w14:textId="77777777" w:rsidTr="00F866FC">
        <w:tc>
          <w:tcPr>
            <w:tcW w:w="8364" w:type="dxa"/>
          </w:tcPr>
          <w:p w14:paraId="59EB2CFE" w14:textId="4C3C348C" w:rsidR="00CB1D87" w:rsidRPr="003C2CE2" w:rsidRDefault="00CB1D87" w:rsidP="00CB1D87">
            <w:pPr>
              <w:spacing w:line="280" w:lineRule="atLeast"/>
              <w:rPr>
                <w:rFonts w:ascii="Arial" w:hAnsi="Arial" w:cs="Arial"/>
              </w:rPr>
            </w:pPr>
            <w:r w:rsidRPr="00CC5530">
              <w:rPr>
                <w:rFonts w:ascii="Arial" w:hAnsi="Arial" w:cs="Arial"/>
              </w:rPr>
              <w:t xml:space="preserve">Klinische Visiten mit </w:t>
            </w:r>
            <w:r>
              <w:rPr>
                <w:rFonts w:ascii="Arial" w:hAnsi="Arial" w:cs="Arial"/>
              </w:rPr>
              <w:t xml:space="preserve">der Leiterin / </w:t>
            </w:r>
            <w:r w:rsidRPr="00CC5530">
              <w:rPr>
                <w:rFonts w:ascii="Arial" w:hAnsi="Arial" w:cs="Arial"/>
              </w:rPr>
              <w:t xml:space="preserve">dem Leiter oder </w:t>
            </w:r>
            <w:r>
              <w:rPr>
                <w:rFonts w:ascii="Arial" w:hAnsi="Arial" w:cs="Arial"/>
              </w:rPr>
              <w:t>einer anderen Fachärztin / einem anderen Facharzt für Klinische Pharmakologie und Toxikologie</w:t>
            </w:r>
            <w:r w:rsidRPr="00CC5530">
              <w:rPr>
                <w:rFonts w:ascii="Arial" w:hAnsi="Arial" w:cs="Arial"/>
              </w:rPr>
              <w:t xml:space="preserve"> (</w:t>
            </w:r>
            <w:r>
              <w:rPr>
                <w:rFonts w:ascii="Arial" w:hAnsi="Arial" w:cs="Arial"/>
              </w:rPr>
              <w:t>Mindesta</w:t>
            </w:r>
            <w:r w:rsidRPr="00CC5530">
              <w:rPr>
                <w:rFonts w:ascii="Arial" w:hAnsi="Arial" w:cs="Arial"/>
              </w:rPr>
              <w:t>nzahl pro Woche)</w:t>
            </w:r>
          </w:p>
        </w:tc>
        <w:tc>
          <w:tcPr>
            <w:tcW w:w="1701" w:type="dxa"/>
            <w:vAlign w:val="center"/>
          </w:tcPr>
          <w:p w14:paraId="2E29FEE1" w14:textId="70345021" w:rsidR="00CB1D87" w:rsidRPr="00F866FC" w:rsidRDefault="00CB1D87" w:rsidP="00F866FC">
            <w:pPr>
              <w:keepNext/>
              <w:tabs>
                <w:tab w:val="left" w:pos="851"/>
                <w:tab w:val="left" w:pos="1276"/>
              </w:tabs>
              <w:spacing w:after="0" w:line="280" w:lineRule="atLeast"/>
              <w:jc w:val="center"/>
              <w:outlineLvl w:val="6"/>
              <w:rPr>
                <w:rFonts w:ascii="Arial" w:hAnsi="Arial" w:cs="Arial"/>
                <w:noProof/>
              </w:rPr>
            </w:pPr>
            <w:r w:rsidRPr="00FD530A">
              <w:rPr>
                <w:rFonts w:ascii="Arial" w:hAnsi="Arial" w:cs="Arial"/>
                <w:noProof/>
              </w:rPr>
              <w:fldChar w:fldCharType="begin">
                <w:ffData>
                  <w:name w:val=""/>
                  <w:enabled/>
                  <w:calcOnExit w:val="0"/>
                  <w:textInput/>
                </w:ffData>
              </w:fldChar>
            </w:r>
            <w:r w:rsidRPr="00FD530A">
              <w:rPr>
                <w:rFonts w:ascii="Arial" w:hAnsi="Arial" w:cs="Arial"/>
                <w:noProof/>
              </w:rPr>
              <w:instrText xml:space="preserve"> FORMTEXT </w:instrText>
            </w:r>
            <w:r w:rsidRPr="00FD530A">
              <w:rPr>
                <w:rFonts w:ascii="Arial" w:hAnsi="Arial" w:cs="Arial"/>
                <w:noProof/>
              </w:rPr>
            </w:r>
            <w:r w:rsidRPr="00FD530A">
              <w:rPr>
                <w:rFonts w:ascii="Arial" w:hAnsi="Arial" w:cs="Arial"/>
                <w:noProof/>
              </w:rPr>
              <w:fldChar w:fldCharType="separate"/>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t> </w:t>
            </w:r>
            <w:r w:rsidRPr="00FD530A">
              <w:rPr>
                <w:rFonts w:ascii="Arial" w:hAnsi="Arial" w:cs="Arial"/>
                <w:noProof/>
              </w:rPr>
              <w:fldChar w:fldCharType="end"/>
            </w:r>
          </w:p>
        </w:tc>
      </w:tr>
      <w:tr w:rsidR="00F866FC" w:rsidRPr="003C2CE2" w14:paraId="0B67A576" w14:textId="77777777" w:rsidTr="00F866FC">
        <w:tc>
          <w:tcPr>
            <w:tcW w:w="8364" w:type="dxa"/>
          </w:tcPr>
          <w:p w14:paraId="6117DA8F" w14:textId="3CB8CF7A" w:rsidR="00F866FC" w:rsidRPr="003C2CE2" w:rsidRDefault="00F866FC" w:rsidP="00F866FC">
            <w:pPr>
              <w:spacing w:line="280" w:lineRule="atLeast"/>
              <w:rPr>
                <w:rFonts w:ascii="Arial" w:hAnsi="Arial" w:cs="Arial"/>
              </w:rPr>
            </w:pPr>
            <w:r>
              <w:rPr>
                <w:rFonts w:ascii="Arial" w:hAnsi="Arial" w:cs="Arial"/>
              </w:rPr>
              <w:t xml:space="preserve">Weiterbildung in medizinethischen und gesundheitsökonomischen Fragestellungen des Fachgebiets </w:t>
            </w:r>
          </w:p>
        </w:tc>
        <w:tc>
          <w:tcPr>
            <w:tcW w:w="1701" w:type="dxa"/>
            <w:vAlign w:val="center"/>
          </w:tcPr>
          <w:p w14:paraId="6B287D9B" w14:textId="19B8E058" w:rsidR="00F866FC" w:rsidRPr="00F866FC" w:rsidRDefault="00F866FC" w:rsidP="00F866FC">
            <w:pPr>
              <w:spacing w:after="0"/>
              <w:jc w:val="center"/>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F866FC" w:rsidRPr="003C2CE2" w14:paraId="33F15453" w14:textId="77777777" w:rsidTr="00F866FC">
        <w:tc>
          <w:tcPr>
            <w:tcW w:w="8364" w:type="dxa"/>
          </w:tcPr>
          <w:p w14:paraId="224366FA" w14:textId="18FC5563" w:rsidR="00F866FC" w:rsidRPr="003C2CE2" w:rsidRDefault="00F866FC" w:rsidP="00F866FC">
            <w:pPr>
              <w:spacing w:line="280" w:lineRule="atLeast"/>
              <w:rPr>
                <w:rFonts w:ascii="Arial" w:hAnsi="Arial" w:cs="Arial"/>
              </w:rPr>
            </w:pPr>
            <w:r w:rsidRPr="00CC5530">
              <w:rPr>
                <w:rFonts w:ascii="Arial" w:hAnsi="Arial" w:cs="Arial"/>
              </w:rPr>
              <w:t>Möglichkeit zu wissenschaftlicher Tätigkeit</w:t>
            </w:r>
            <w:r>
              <w:rPr>
                <w:rFonts w:ascii="Arial" w:hAnsi="Arial" w:cs="Arial"/>
              </w:rPr>
              <w:t xml:space="preserve"> </w:t>
            </w:r>
          </w:p>
        </w:tc>
        <w:tc>
          <w:tcPr>
            <w:tcW w:w="1701" w:type="dxa"/>
            <w:vAlign w:val="center"/>
          </w:tcPr>
          <w:p w14:paraId="0ED246C3" w14:textId="64835E1E" w:rsidR="00F866FC" w:rsidRPr="00F866FC" w:rsidRDefault="00F866FC" w:rsidP="00F866FC">
            <w:pPr>
              <w:spacing w:after="0"/>
              <w:jc w:val="center"/>
              <w:rPr>
                <w:rFonts w:ascii="Arial" w:eastAsia="Times New Roman" w:hAnsi="Arial" w:cs="Arial"/>
                <w:lang w:val="de-DE" w:eastAsia="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294287" w:rsidRPr="003C2CE2" w14:paraId="56C25A95" w14:textId="77777777" w:rsidTr="00731E33">
        <w:tc>
          <w:tcPr>
            <w:tcW w:w="8364" w:type="dxa"/>
          </w:tcPr>
          <w:p w14:paraId="5784B87D" w14:textId="77777777" w:rsidR="00294287" w:rsidRDefault="00294287" w:rsidP="00294287">
            <w:pPr>
              <w:tabs>
                <w:tab w:val="left" w:pos="851"/>
                <w:tab w:val="center" w:pos="4819"/>
                <w:tab w:val="right" w:pos="9071"/>
              </w:tabs>
              <w:spacing w:after="0" w:line="280" w:lineRule="atLeast"/>
              <w:jc w:val="both"/>
              <w:rPr>
                <w:rFonts w:cs="Arial"/>
              </w:rPr>
            </w:pPr>
            <w:r>
              <w:rPr>
                <w:rFonts w:cs="Arial"/>
              </w:rPr>
              <w:t>Strukturierte Weiterbildung in klinischer Pharmakologie und Toxikologie (Std./Woche) (</w:t>
            </w: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 davon obligatorische wöchentliche Angebote:</w:t>
            </w:r>
          </w:p>
          <w:p w14:paraId="19A67BA3" w14:textId="77777777" w:rsidR="00294287" w:rsidRPr="004C7640" w:rsidRDefault="00294287" w:rsidP="00294287">
            <w:pPr>
              <w:pStyle w:val="Listenabsatz"/>
              <w:numPr>
                <w:ilvl w:val="0"/>
                <w:numId w:val="30"/>
              </w:numPr>
              <w:tabs>
                <w:tab w:val="center" w:pos="4819"/>
                <w:tab w:val="right" w:pos="9071"/>
              </w:tabs>
              <w:spacing w:after="0" w:line="280" w:lineRule="atLeast"/>
              <w:ind w:left="142" w:hanging="142"/>
              <w:jc w:val="both"/>
              <w:rPr>
                <w:rFonts w:cs="Arial"/>
              </w:rPr>
            </w:pPr>
            <w:r w:rsidRPr="00AD7ED7">
              <w:rPr>
                <w:rFonts w:ascii="Arial" w:hAnsi="Arial" w:cs="Arial"/>
              </w:rPr>
              <w:t>Interdiszipli</w:t>
            </w:r>
            <w:r>
              <w:rPr>
                <w:rFonts w:ascii="Arial" w:hAnsi="Arial" w:cs="Arial"/>
              </w:rPr>
              <w:t>näre Weiterbildungsveranstaltun</w:t>
            </w:r>
            <w:r w:rsidRPr="00AD7ED7">
              <w:rPr>
                <w:rFonts w:ascii="Arial" w:hAnsi="Arial" w:cs="Arial"/>
              </w:rPr>
              <w:t xml:space="preserve">gen mit </w:t>
            </w:r>
            <w:r>
              <w:rPr>
                <w:rFonts w:ascii="Arial" w:hAnsi="Arial" w:cs="Arial"/>
              </w:rPr>
              <w:t>anderen internistischen Fachgebieten</w:t>
            </w:r>
          </w:p>
          <w:p w14:paraId="0E861208" w14:textId="77777777" w:rsidR="000F5A13" w:rsidRPr="000F5A13" w:rsidRDefault="00294287" w:rsidP="00294287">
            <w:pPr>
              <w:pStyle w:val="Listenabsatz"/>
              <w:numPr>
                <w:ilvl w:val="0"/>
                <w:numId w:val="30"/>
              </w:numPr>
              <w:tabs>
                <w:tab w:val="center" w:pos="4819"/>
                <w:tab w:val="right" w:pos="9071"/>
              </w:tabs>
              <w:spacing w:after="0" w:line="280" w:lineRule="atLeast"/>
              <w:ind w:left="142" w:hanging="142"/>
              <w:jc w:val="both"/>
              <w:rPr>
                <w:rFonts w:cs="Arial"/>
              </w:rPr>
            </w:pPr>
            <w:r w:rsidRPr="00CC5530">
              <w:rPr>
                <w:rFonts w:ascii="Arial" w:hAnsi="Arial" w:cs="Arial"/>
              </w:rPr>
              <w:t>Andere Weiterbildung</w:t>
            </w:r>
          </w:p>
          <w:p w14:paraId="030811F5" w14:textId="1D52DA1B" w:rsidR="00294287" w:rsidRPr="000F5A13" w:rsidRDefault="00294287" w:rsidP="000F5A13">
            <w:pPr>
              <w:pStyle w:val="Listenabsatz"/>
              <w:numPr>
                <w:ilvl w:val="0"/>
                <w:numId w:val="30"/>
              </w:numPr>
              <w:tabs>
                <w:tab w:val="center" w:pos="4819"/>
                <w:tab w:val="right" w:pos="9071"/>
              </w:tabs>
              <w:spacing w:line="280" w:lineRule="atLeast"/>
              <w:ind w:left="142" w:hanging="142"/>
              <w:jc w:val="both"/>
              <w:rPr>
                <w:rFonts w:cs="Arial"/>
              </w:rPr>
            </w:pPr>
            <w:r w:rsidRPr="000F5A13">
              <w:rPr>
                <w:rFonts w:ascii="Arial" w:hAnsi="Arial" w:cs="Arial"/>
              </w:rPr>
              <w:t>Möglichkeit zum Besuch externer WB-Veranstaltungen während der Arbeitszeit (3 Tage pro Jahr für Kategorie A, 2 Tage pro Jahr für Kategorie B)</w:t>
            </w:r>
          </w:p>
        </w:tc>
        <w:tc>
          <w:tcPr>
            <w:tcW w:w="1701" w:type="dxa"/>
            <w:vAlign w:val="center"/>
          </w:tcPr>
          <w:p w14:paraId="456D7E23" w14:textId="77777777" w:rsidR="00294287" w:rsidRDefault="00294287" w:rsidP="00294287">
            <w:pPr>
              <w:tabs>
                <w:tab w:val="left" w:pos="646"/>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67A597ED" w14:textId="148CEB4B" w:rsidR="00294287" w:rsidRPr="003C6B48" w:rsidRDefault="00294287" w:rsidP="00294287">
            <w:pPr>
              <w:spacing w:after="0"/>
              <w:jc w:val="center"/>
              <w:rPr>
                <w:lang w:val="de-DE"/>
              </w:rPr>
            </w:pPr>
            <w:r>
              <w:rPr>
                <w:rFonts w:cstheme="minorHAnsi"/>
              </w:rPr>
              <w:t>h / Woche</w:t>
            </w:r>
          </w:p>
        </w:tc>
      </w:tr>
      <w:tr w:rsidR="00294287" w:rsidRPr="003C2CE2" w14:paraId="798D7FD6" w14:textId="77777777" w:rsidTr="00731E33">
        <w:tc>
          <w:tcPr>
            <w:tcW w:w="8364" w:type="dxa"/>
          </w:tcPr>
          <w:p w14:paraId="7919DDCB" w14:textId="60C384C8" w:rsidR="00294287" w:rsidRPr="003C2CE2" w:rsidRDefault="00294287" w:rsidP="00294287">
            <w:pPr>
              <w:spacing w:line="280" w:lineRule="atLeast"/>
              <w:rPr>
                <w:rFonts w:ascii="Arial" w:hAnsi="Arial" w:cs="Arial"/>
              </w:rPr>
            </w:pPr>
            <w:r>
              <w:rPr>
                <w:rFonts w:ascii="Arial" w:hAnsi="Arial" w:cs="Arial"/>
                <w:bCs/>
                <w:snapToGrid w:val="0"/>
              </w:rPr>
              <w:t>Von den folgenden Fachzeitschriften stehen die aktuellen Ausgaben von mindestens 3 den Weiterzubildenden jederzeit als Print- und/oder Volltext-Online-Ausgaben zur Verfügung: «Clinical Pharmacology and Therapeutics», «British Journal of Clinical Pharmacology», «European Journal of Clinical Pharmacology», «Clinical Pharmacokinetics», «Drugs», «Clinical Toxicology»</w:t>
            </w:r>
          </w:p>
        </w:tc>
        <w:tc>
          <w:tcPr>
            <w:tcW w:w="1701" w:type="dxa"/>
            <w:vAlign w:val="center"/>
          </w:tcPr>
          <w:p w14:paraId="705EA283" w14:textId="1283C6EC" w:rsidR="00294287" w:rsidRPr="003C6B48" w:rsidRDefault="00294287" w:rsidP="00294287">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F83325">
              <w:rPr>
                <w:rFonts w:ascii="Arial" w:eastAsia="Times New Roman" w:hAnsi="Arial" w:cs="Arial"/>
                <w:lang w:val="de-DE" w:eastAsia="de-DE"/>
              </w:rPr>
            </w:r>
            <w:r w:rsidR="00F83325">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bl>
    <w:p w14:paraId="0FDF0467" w14:textId="77777777" w:rsidR="00BD0A9E" w:rsidRDefault="00BD0A9E" w:rsidP="00294287">
      <w:pPr>
        <w:tabs>
          <w:tab w:val="left" w:pos="5103"/>
        </w:tabs>
        <w:spacing w:after="0"/>
        <w:rPr>
          <w:rFonts w:ascii="Arial" w:eastAsia="Times New Roman" w:hAnsi="Arial" w:cs="Arial"/>
          <w:lang w:val="de-DE" w:eastAsia="de-DE"/>
        </w:rPr>
      </w:pPr>
    </w:p>
    <w:sectPr w:rsidR="00BD0A9E"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69F0" w14:textId="77777777" w:rsidR="00C95CCC" w:rsidRDefault="00C95CCC" w:rsidP="00E177D4">
      <w:pPr>
        <w:spacing w:after="0"/>
      </w:pPr>
      <w:r>
        <w:separator/>
      </w:r>
    </w:p>
  </w:endnote>
  <w:endnote w:type="continuationSeparator" w:id="0">
    <w:p w14:paraId="3A86BFB9" w14:textId="77777777" w:rsidR="00C95CCC" w:rsidRDefault="00C95CC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364B442A" w:rsidR="009A2F57" w:rsidRPr="00847F74" w:rsidRDefault="00AF6B1B" w:rsidP="00847F74">
    <w:pPr>
      <w:pStyle w:val="Fuzeile"/>
      <w:tabs>
        <w:tab w:val="clear" w:pos="4536"/>
        <w:tab w:val="clear" w:pos="9072"/>
      </w:tabs>
      <w:rPr>
        <w:sz w:val="15"/>
        <w:szCs w:val="15"/>
        <w:lang w:val="de-DE"/>
      </w:rPr>
    </w:pPr>
    <w:r w:rsidRPr="00AF6B1B">
      <w:rPr>
        <w:rFonts w:ascii="Arial" w:hAnsi="Arial"/>
        <w:noProof/>
        <w:color w:val="3C5587" w:themeColor="accent1"/>
        <w:sz w:val="15"/>
        <w:szCs w:val="15"/>
        <w:lang w:val="fr-CH"/>
      </w:rPr>
      <w:t>rev.</w:t>
    </w:r>
    <w:r w:rsidR="00B11FDB">
      <w:rPr>
        <w:rFonts w:ascii="Arial" w:hAnsi="Arial"/>
        <w:noProof/>
        <w:color w:val="3C5587" w:themeColor="accent1"/>
        <w:sz w:val="15"/>
        <w:szCs w:val="15"/>
        <w:lang w:val="fr-CH"/>
      </w:rPr>
      <w:t>14.3.2024</w:t>
    </w:r>
    <w:r w:rsidRPr="00AF6B1B">
      <w:rPr>
        <w:rFonts w:ascii="Arial" w:hAnsi="Arial"/>
        <w:noProof/>
        <w:color w:val="3C5587" w:themeColor="accent1"/>
        <w:sz w:val="15"/>
        <w:szCs w:val="15"/>
        <w:lang w:val="fr-CH"/>
      </w:rPr>
      <w:t>/</w:t>
    </w:r>
    <w:r w:rsidR="00B11FDB">
      <w:rPr>
        <w:rFonts w:ascii="Arial" w:hAnsi="Arial"/>
        <w:noProof/>
        <w:color w:val="3C5587" w:themeColor="accent1"/>
        <w:sz w:val="15"/>
        <w:szCs w:val="15"/>
        <w:lang w:val="fr-CH"/>
      </w:rPr>
      <w:t>20.9.2024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7D4BC" w14:textId="77777777" w:rsidR="00C95CCC" w:rsidRDefault="00C95CCC" w:rsidP="00E177D4">
      <w:pPr>
        <w:spacing w:after="0"/>
      </w:pPr>
      <w:r>
        <w:separator/>
      </w:r>
    </w:p>
  </w:footnote>
  <w:footnote w:type="continuationSeparator" w:id="0">
    <w:p w14:paraId="4B6A700F" w14:textId="77777777" w:rsidR="00C95CCC" w:rsidRDefault="00C95CCC" w:rsidP="00E177D4">
      <w:pPr>
        <w:spacing w:after="0"/>
      </w:pPr>
      <w:r>
        <w:continuationSeparator/>
      </w:r>
    </w:p>
  </w:footnote>
  <w:footnote w:id="1">
    <w:p w14:paraId="31794205" w14:textId="77777777" w:rsidR="008504F8" w:rsidRDefault="008504F8" w:rsidP="00A95605">
      <w:pPr>
        <w:pStyle w:val="Funotentext"/>
        <w:ind w:left="142" w:hanging="142"/>
        <w:jc w:val="both"/>
      </w:pPr>
      <w:r>
        <w:rPr>
          <w:rStyle w:val="Funotenzeichen"/>
        </w:rPr>
        <w:footnoteRef/>
      </w:r>
      <w:r>
        <w:tab/>
      </w:r>
      <w:r w:rsidRPr="001341CC">
        <w:rPr>
          <w:rFonts w:ascii="Arial" w:hAnsi="Arial" w:cs="Arial"/>
          <w:snapToGrid w:val="0"/>
        </w:rPr>
        <w:t xml:space="preserve">Bei der Weiterbildungsstätte </w:t>
      </w:r>
      <w:r>
        <w:rPr>
          <w:rFonts w:ascii="Arial" w:hAnsi="Arial" w:cs="Arial"/>
          <w:snapToGrid w:val="0"/>
        </w:rPr>
        <w:t>«</w:t>
      </w:r>
      <w:r w:rsidRPr="001341CC">
        <w:rPr>
          <w:rFonts w:ascii="Arial" w:hAnsi="Arial" w:cs="Arial"/>
          <w:snapToGrid w:val="0"/>
        </w:rPr>
        <w:t>Tox Info Suisse</w:t>
      </w:r>
      <w:r>
        <w:rPr>
          <w:rFonts w:ascii="Arial" w:hAnsi="Arial" w:cs="Arial"/>
          <w:snapToGrid w:val="0"/>
        </w:rPr>
        <w:t>»</w:t>
      </w:r>
      <w:r w:rsidRPr="001341CC">
        <w:rPr>
          <w:rFonts w:ascii="Arial" w:hAnsi="Arial" w:cs="Arial"/>
          <w:snapToGrid w:val="0"/>
        </w:rPr>
        <w:t xml:space="preserve"> der Katego</w:t>
      </w:r>
      <w:r>
        <w:rPr>
          <w:rFonts w:ascii="Arial" w:hAnsi="Arial" w:cs="Arial"/>
          <w:snapToGrid w:val="0"/>
        </w:rPr>
        <w:t>rie B, die im Bereich der Klini</w:t>
      </w:r>
      <w:r w:rsidRPr="001341CC">
        <w:rPr>
          <w:rFonts w:ascii="Arial" w:hAnsi="Arial" w:cs="Arial"/>
          <w:snapToGrid w:val="0"/>
        </w:rPr>
        <w:t>schen Toxikologie tätig ist, kann die direkte Weiterbi</w:t>
      </w:r>
      <w:r>
        <w:rPr>
          <w:rFonts w:ascii="Arial" w:hAnsi="Arial" w:cs="Arial"/>
          <w:snapToGrid w:val="0"/>
        </w:rPr>
        <w:t>ldnerfunktion auch durch Ärztin</w:t>
      </w:r>
      <w:r w:rsidRPr="001341CC">
        <w:rPr>
          <w:rFonts w:ascii="Arial" w:hAnsi="Arial" w:cs="Arial"/>
          <w:snapToGrid w:val="0"/>
        </w:rPr>
        <w:t>nen und Ärzte wahrgenommen werden, die eine für das</w:t>
      </w:r>
      <w:r>
        <w:rPr>
          <w:rFonts w:ascii="Arial" w:hAnsi="Arial" w:cs="Arial"/>
          <w:snapToGrid w:val="0"/>
        </w:rPr>
        <w:t xml:space="preserve"> spezifische Teilgebiet der Kli</w:t>
      </w:r>
      <w:r w:rsidRPr="001341CC">
        <w:rPr>
          <w:rFonts w:ascii="Arial" w:hAnsi="Arial" w:cs="Arial"/>
          <w:snapToGrid w:val="0"/>
        </w:rPr>
        <w:t>nischen Pharmakologie und Toxikologie relevante ärztl</w:t>
      </w:r>
      <w:r>
        <w:rPr>
          <w:rFonts w:ascii="Arial" w:hAnsi="Arial" w:cs="Arial"/>
          <w:snapToGrid w:val="0"/>
        </w:rPr>
        <w:t>iche Zusatzweiterbildung erfolg</w:t>
      </w:r>
      <w:r w:rsidRPr="001341CC">
        <w:rPr>
          <w:rFonts w:ascii="Arial" w:hAnsi="Arial" w:cs="Arial"/>
          <w:snapToGrid w:val="0"/>
        </w:rPr>
        <w:t>reich abgeschlossen haben und sich hierüber ausweisen können. Diese werden für diese spezifische Weiterbildnerfunktion den Weiterbildner</w:t>
      </w:r>
      <w:r>
        <w:rPr>
          <w:rFonts w:ascii="Arial" w:hAnsi="Arial" w:cs="Arial"/>
          <w:snapToGrid w:val="0"/>
        </w:rPr>
        <w:t>innen und Weiterbildner</w:t>
      </w:r>
      <w:r w:rsidRPr="001341CC">
        <w:rPr>
          <w:rFonts w:ascii="Arial" w:hAnsi="Arial" w:cs="Arial"/>
          <w:snapToGrid w:val="0"/>
        </w:rPr>
        <w:t xml:space="preserve">n </w:t>
      </w:r>
      <w:r>
        <w:rPr>
          <w:rFonts w:ascii="Arial" w:hAnsi="Arial" w:cs="Arial"/>
          <w:snapToGrid w:val="0"/>
        </w:rPr>
        <w:t>mit Facharzttitel für eine anre</w:t>
      </w:r>
      <w:r w:rsidRPr="001341CC">
        <w:rPr>
          <w:rFonts w:ascii="Arial" w:hAnsi="Arial" w:cs="Arial"/>
          <w:snapToGrid w:val="0"/>
        </w:rPr>
        <w:t>chenbare Dauer von max. 1 Jahr gleichgestellt. Die D</w:t>
      </w:r>
      <w:r>
        <w:rPr>
          <w:rFonts w:ascii="Arial" w:hAnsi="Arial" w:cs="Arial"/>
          <w:snapToGrid w:val="0"/>
        </w:rPr>
        <w:t>etails müssen im Weiterbildungs</w:t>
      </w:r>
      <w:r w:rsidRPr="001341CC">
        <w:rPr>
          <w:rFonts w:ascii="Arial" w:hAnsi="Arial" w:cs="Arial"/>
          <w:snapToGrid w:val="0"/>
        </w:rPr>
        <w:t xml:space="preserve">konzept der Weiterbildungsstätte </w:t>
      </w:r>
      <w:r>
        <w:rPr>
          <w:rFonts w:ascii="Arial" w:hAnsi="Arial" w:cs="Arial"/>
          <w:snapToGrid w:val="0"/>
        </w:rPr>
        <w:t xml:space="preserve">«Tox Info Suisse» </w:t>
      </w:r>
      <w:r w:rsidRPr="001341CC">
        <w:rPr>
          <w:rFonts w:ascii="Arial" w:hAnsi="Arial" w:cs="Arial"/>
          <w:snapToGrid w:val="0"/>
        </w:rPr>
        <w:t>dargelegt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D4EE42A0"/>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A7206CB"/>
    <w:multiLevelType w:val="hybridMultilevel"/>
    <w:tmpl w:val="ABAA1E90"/>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6"/>
  </w:num>
  <w:num w:numId="4" w16cid:durableId="1977100223">
    <w:abstractNumId w:val="6"/>
  </w:num>
  <w:num w:numId="5" w16cid:durableId="1263369768">
    <w:abstractNumId w:val="16"/>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4"/>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6"/>
  </w:num>
  <w:num w:numId="25" w16cid:durableId="15466652">
    <w:abstractNumId w:val="19"/>
  </w:num>
  <w:num w:numId="26" w16cid:durableId="714232155">
    <w:abstractNumId w:val="23"/>
  </w:num>
  <w:num w:numId="27" w16cid:durableId="36898598">
    <w:abstractNumId w:val="0"/>
  </w:num>
  <w:num w:numId="28" w16cid:durableId="1880318448">
    <w:abstractNumId w:val="12"/>
  </w:num>
  <w:num w:numId="29" w16cid:durableId="842621233">
    <w:abstractNumId w:val="22"/>
  </w:num>
  <w:num w:numId="30" w16cid:durableId="71265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ocumentProtection w:edit="forms" w:enforcement="1" w:cryptProviderType="rsaAES" w:cryptAlgorithmClass="hash" w:cryptAlgorithmType="typeAny" w:cryptAlgorithmSid="14" w:cryptSpinCount="100000" w:hash="WBiqx2qCvsiew91wmAhopW8HFgA2JwaopsE1SgEiI2sz24n4pV8tthZPSTDtYAapkupQsisUTIHI+JPoqJAyhA==" w:salt="e9201XuHZqQhzzhoLpsSTA=="/>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2AAB"/>
    <w:rsid w:val="000332AF"/>
    <w:rsid w:val="00036E20"/>
    <w:rsid w:val="00044C7D"/>
    <w:rsid w:val="00047502"/>
    <w:rsid w:val="000508F4"/>
    <w:rsid w:val="000509D1"/>
    <w:rsid w:val="00054ED7"/>
    <w:rsid w:val="00061C59"/>
    <w:rsid w:val="00070180"/>
    <w:rsid w:val="00070359"/>
    <w:rsid w:val="00070850"/>
    <w:rsid w:val="00075CD0"/>
    <w:rsid w:val="0008149B"/>
    <w:rsid w:val="00085909"/>
    <w:rsid w:val="000B1A9F"/>
    <w:rsid w:val="000B30B5"/>
    <w:rsid w:val="000C03E2"/>
    <w:rsid w:val="000C33C5"/>
    <w:rsid w:val="000C771F"/>
    <w:rsid w:val="000E4FAA"/>
    <w:rsid w:val="000E674C"/>
    <w:rsid w:val="000F5A13"/>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55AB"/>
    <w:rsid w:val="001A60D5"/>
    <w:rsid w:val="001A6E8B"/>
    <w:rsid w:val="001B1410"/>
    <w:rsid w:val="001B1BFA"/>
    <w:rsid w:val="001B65C2"/>
    <w:rsid w:val="001B6ED1"/>
    <w:rsid w:val="001C1002"/>
    <w:rsid w:val="001D184F"/>
    <w:rsid w:val="001D4061"/>
    <w:rsid w:val="001F11C2"/>
    <w:rsid w:val="001F264A"/>
    <w:rsid w:val="001F5BFB"/>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94287"/>
    <w:rsid w:val="002A314D"/>
    <w:rsid w:val="002A5B42"/>
    <w:rsid w:val="002A7D9F"/>
    <w:rsid w:val="002B225A"/>
    <w:rsid w:val="002C6486"/>
    <w:rsid w:val="002D0B43"/>
    <w:rsid w:val="002D3BCA"/>
    <w:rsid w:val="002D544F"/>
    <w:rsid w:val="002D55F2"/>
    <w:rsid w:val="002D6F6E"/>
    <w:rsid w:val="002E2599"/>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1708"/>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C3DA1"/>
    <w:rsid w:val="004D2768"/>
    <w:rsid w:val="004D6CAF"/>
    <w:rsid w:val="004D7874"/>
    <w:rsid w:val="004E3D20"/>
    <w:rsid w:val="004E3D49"/>
    <w:rsid w:val="004E6C12"/>
    <w:rsid w:val="004F2DD5"/>
    <w:rsid w:val="00525C2F"/>
    <w:rsid w:val="00531EAF"/>
    <w:rsid w:val="0053258B"/>
    <w:rsid w:val="005328DB"/>
    <w:rsid w:val="00533471"/>
    <w:rsid w:val="005378DE"/>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108D"/>
    <w:rsid w:val="0061201A"/>
    <w:rsid w:val="0061270F"/>
    <w:rsid w:val="00616C97"/>
    <w:rsid w:val="00621E9E"/>
    <w:rsid w:val="00624B17"/>
    <w:rsid w:val="0062532D"/>
    <w:rsid w:val="00627DC1"/>
    <w:rsid w:val="00636B25"/>
    <w:rsid w:val="00641D8A"/>
    <w:rsid w:val="0064421B"/>
    <w:rsid w:val="00646D46"/>
    <w:rsid w:val="00651B85"/>
    <w:rsid w:val="00652A2A"/>
    <w:rsid w:val="006659F7"/>
    <w:rsid w:val="00673B3E"/>
    <w:rsid w:val="006746F8"/>
    <w:rsid w:val="00680523"/>
    <w:rsid w:val="00690F62"/>
    <w:rsid w:val="00697972"/>
    <w:rsid w:val="006A3362"/>
    <w:rsid w:val="006B2FF0"/>
    <w:rsid w:val="006B354F"/>
    <w:rsid w:val="006B4852"/>
    <w:rsid w:val="006C3325"/>
    <w:rsid w:val="006C3810"/>
    <w:rsid w:val="006D0511"/>
    <w:rsid w:val="006D473C"/>
    <w:rsid w:val="006E17C4"/>
    <w:rsid w:val="006E19CC"/>
    <w:rsid w:val="006E4A1C"/>
    <w:rsid w:val="006E4D26"/>
    <w:rsid w:val="006F7792"/>
    <w:rsid w:val="0070354E"/>
    <w:rsid w:val="007061E9"/>
    <w:rsid w:val="0071335D"/>
    <w:rsid w:val="007226D3"/>
    <w:rsid w:val="007273D2"/>
    <w:rsid w:val="00731E33"/>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4F8"/>
    <w:rsid w:val="00850AF6"/>
    <w:rsid w:val="00851E49"/>
    <w:rsid w:val="008650E0"/>
    <w:rsid w:val="0086556D"/>
    <w:rsid w:val="00865946"/>
    <w:rsid w:val="008754A3"/>
    <w:rsid w:val="00877371"/>
    <w:rsid w:val="00880B93"/>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32E75"/>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AF6B1B"/>
    <w:rsid w:val="00B01E4D"/>
    <w:rsid w:val="00B05F28"/>
    <w:rsid w:val="00B106A2"/>
    <w:rsid w:val="00B11FDB"/>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0A9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95CCC"/>
    <w:rsid w:val="00CA0F0D"/>
    <w:rsid w:val="00CA167B"/>
    <w:rsid w:val="00CA3084"/>
    <w:rsid w:val="00CA7DD0"/>
    <w:rsid w:val="00CB1D87"/>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19FC"/>
    <w:rsid w:val="00D90EC7"/>
    <w:rsid w:val="00D9436A"/>
    <w:rsid w:val="00DA2819"/>
    <w:rsid w:val="00DA7BF2"/>
    <w:rsid w:val="00DC493A"/>
    <w:rsid w:val="00DD3A6B"/>
    <w:rsid w:val="00DD4737"/>
    <w:rsid w:val="00DE4967"/>
    <w:rsid w:val="00DF282F"/>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77C75"/>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83325"/>
    <w:rsid w:val="00F866FC"/>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70850"/>
    <w:rsid w:val="00455969"/>
    <w:rsid w:val="005F0064"/>
    <w:rsid w:val="00614EAE"/>
    <w:rsid w:val="00680523"/>
    <w:rsid w:val="006A697E"/>
    <w:rsid w:val="00811E95"/>
    <w:rsid w:val="008624C3"/>
    <w:rsid w:val="00C42AD5"/>
    <w:rsid w:val="00C82EDA"/>
    <w:rsid w:val="00D22784"/>
    <w:rsid w:val="00E0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68F3"/>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1949</Words>
  <Characters>11114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17</cp:revision>
  <cp:lastPrinted>2022-09-28T13:19:00Z</cp:lastPrinted>
  <dcterms:created xsi:type="dcterms:W3CDTF">2024-09-20T09:13:00Z</dcterms:created>
  <dcterms:modified xsi:type="dcterms:W3CDTF">2024-09-20T09:48:00Z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